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D6851">
      <w:pPr>
        <w:ind w:left="-141" w:leftChars="-67"/>
        <w:jc w:val="center"/>
        <w:rPr>
          <w:rFonts w:hint="eastAsia" w:ascii="华文中宋" w:hAnsi="华文中宋" w:eastAsia="华文中宋"/>
          <w:b/>
          <w:sz w:val="36"/>
          <w:szCs w:val="36"/>
        </w:rPr>
      </w:pPr>
      <w:r>
        <w:rPr>
          <w:rFonts w:hint="eastAsia" w:ascii="华文中宋" w:hAnsi="华文中宋" w:eastAsia="华文中宋"/>
          <w:b/>
          <w:sz w:val="36"/>
          <w:szCs w:val="36"/>
        </w:rPr>
        <w:drawing>
          <wp:inline distT="0" distB="0" distL="0" distR="0">
            <wp:extent cx="6178550" cy="927735"/>
            <wp:effectExtent l="0" t="0" r="12700" b="5715"/>
            <wp:docPr id="1026" name="图片 1" descr="a442c33d65ca02a661cf509d708b73cf"/>
            <wp:cNvGraphicFramePr/>
            <a:graphic xmlns:a="http://schemas.openxmlformats.org/drawingml/2006/main">
              <a:graphicData uri="http://schemas.openxmlformats.org/drawingml/2006/picture">
                <pic:pic xmlns:pic="http://schemas.openxmlformats.org/drawingml/2006/picture">
                  <pic:nvPicPr>
                    <pic:cNvPr id="1026" name="图片 1" descr="a442c33d65ca02a661cf509d708b73cf"/>
                    <pic:cNvPicPr/>
                  </pic:nvPicPr>
                  <pic:blipFill>
                    <a:blip r:embed="rId6" cstate="print"/>
                    <a:srcRect/>
                    <a:stretch>
                      <a:fillRect/>
                    </a:stretch>
                  </pic:blipFill>
                  <pic:spPr>
                    <a:xfrm>
                      <a:off x="0" y="0"/>
                      <a:ext cx="6178550" cy="927735"/>
                    </a:xfrm>
                    <a:prstGeom prst="rect">
                      <a:avLst/>
                    </a:prstGeom>
                  </pic:spPr>
                </pic:pic>
              </a:graphicData>
            </a:graphic>
          </wp:inline>
        </w:drawing>
      </w:r>
    </w:p>
    <w:p w14:paraId="56A7A3FF">
      <w:pPr>
        <w:keepNext w:val="0"/>
        <w:keepLines w:val="0"/>
        <w:pageBreakBefore w:val="0"/>
        <w:widowControl w:val="0"/>
        <w:kinsoku/>
        <w:wordWrap/>
        <w:overflowPunct/>
        <w:topLinePunct w:val="0"/>
        <w:autoSpaceDE/>
        <w:autoSpaceDN/>
        <w:bidi w:val="0"/>
        <w:adjustRightInd/>
        <w:snapToGrid/>
        <w:spacing w:line="360" w:lineRule="auto"/>
        <w:ind w:left="-141" w:leftChars="-67"/>
        <w:jc w:val="center"/>
        <w:textAlignment w:val="auto"/>
        <w:rPr>
          <w:rFonts w:hint="eastAsia" w:ascii="华文中宋" w:hAnsi="华文中宋" w:eastAsia="华文中宋"/>
          <w:b/>
          <w:sz w:val="32"/>
          <w:szCs w:val="32"/>
        </w:rPr>
      </w:pPr>
      <w:r>
        <w:rPr>
          <w:rFonts w:hint="eastAsia" w:ascii="华文中宋" w:hAnsi="华文中宋" w:eastAsia="华文中宋"/>
          <w:b/>
          <w:sz w:val="32"/>
          <w:szCs w:val="32"/>
        </w:rPr>
        <w:t>关于举办2026年度（第3</w:t>
      </w:r>
      <w:r>
        <w:rPr>
          <w:rFonts w:hint="default" w:hAnsi="华文中宋" w:eastAsia="华文中宋"/>
          <w:b/>
          <w:sz w:val="32"/>
          <w:szCs w:val="32"/>
          <w:lang w:val="en-US"/>
        </w:rPr>
        <w:t>6</w:t>
      </w:r>
      <w:r>
        <w:rPr>
          <w:rFonts w:hint="eastAsia" w:ascii="华文中宋" w:hAnsi="华文中宋" w:eastAsia="华文中宋"/>
          <w:b/>
          <w:sz w:val="32"/>
          <w:szCs w:val="32"/>
        </w:rPr>
        <w:t>次）实验病理学公益网络学习会的通知</w:t>
      </w:r>
    </w:p>
    <w:p w14:paraId="784B4CCB">
      <w:pPr>
        <w:keepNext w:val="0"/>
        <w:keepLines w:val="0"/>
        <w:pageBreakBefore w:val="0"/>
        <w:widowControl w:val="0"/>
        <w:kinsoku/>
        <w:wordWrap/>
        <w:overflowPunct/>
        <w:topLinePunct w:val="0"/>
        <w:autoSpaceDE/>
        <w:autoSpaceDN/>
        <w:bidi w:val="0"/>
        <w:adjustRightInd/>
        <w:snapToGrid/>
        <w:spacing w:line="360" w:lineRule="auto"/>
        <w:ind w:right="210" w:rightChars="100" w:firstLine="480" w:firstLineChars="200"/>
        <w:jc w:val="left"/>
        <w:textAlignment w:val="auto"/>
        <w:rPr>
          <w:rFonts w:ascii="仿宋_GB2312" w:eastAsia="仿宋_GB2312"/>
          <w:sz w:val="24"/>
        </w:rPr>
      </w:pPr>
      <w:r>
        <w:rPr>
          <w:rFonts w:hint="eastAsia" w:ascii="仿宋_GB2312" w:eastAsia="仿宋_GB2312"/>
          <w:sz w:val="24"/>
        </w:rPr>
        <w:t>为促进实验病理学从业人员的学术交流，开展实验病理学公益网络学习会，自2019年起，已进入第8个年头，本次学习会是第3</w:t>
      </w:r>
      <w:r>
        <w:rPr>
          <w:rFonts w:hint="default" w:ascii="仿宋_GB2312" w:eastAsia="仿宋_GB2312"/>
          <w:sz w:val="24"/>
          <w:lang w:val="en-US"/>
        </w:rPr>
        <w:t>30</w:t>
      </w:r>
      <w:r>
        <w:rPr>
          <w:rFonts w:hint="eastAsia" w:ascii="仿宋_GB2312" w:eastAsia="仿宋_GB2312"/>
          <w:sz w:val="24"/>
        </w:rPr>
        <w:t>次学习会。</w:t>
      </w:r>
    </w:p>
    <w:p w14:paraId="7BCDFB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sz w:val="24"/>
        </w:rPr>
      </w:pPr>
      <w:r>
        <w:rPr>
          <w:rFonts w:hint="eastAsia" w:ascii="黑体" w:hAnsi="黑体" w:eastAsia="黑体"/>
          <w:sz w:val="24"/>
        </w:rPr>
        <w:t>一、组织机构</w:t>
      </w:r>
    </w:p>
    <w:p w14:paraId="28421BFA">
      <w:pPr>
        <w:keepNext w:val="0"/>
        <w:keepLines w:val="0"/>
        <w:pageBreakBefore w:val="0"/>
        <w:widowControl w:val="0"/>
        <w:kinsoku/>
        <w:wordWrap/>
        <w:overflowPunct/>
        <w:topLinePunct w:val="0"/>
        <w:autoSpaceDE/>
        <w:autoSpaceDN/>
        <w:bidi w:val="0"/>
        <w:adjustRightInd/>
        <w:snapToGrid/>
        <w:spacing w:line="360" w:lineRule="auto"/>
        <w:ind w:right="210" w:rightChars="100" w:firstLine="480" w:firstLineChars="200"/>
        <w:jc w:val="left"/>
        <w:textAlignment w:val="auto"/>
        <w:rPr>
          <w:rFonts w:ascii="仿宋_GB2312" w:eastAsia="仿宋_GB2312"/>
          <w:sz w:val="24"/>
        </w:rPr>
      </w:pPr>
      <w:r>
        <w:rPr>
          <w:rFonts w:hint="eastAsia" w:ascii="仿宋_GB2312" w:eastAsia="仿宋_GB2312"/>
          <w:sz w:val="24"/>
        </w:rPr>
        <w:t>主办：深圳市专家人才联合会</w:t>
      </w:r>
    </w:p>
    <w:p w14:paraId="0B380F54">
      <w:pPr>
        <w:keepNext w:val="0"/>
        <w:keepLines w:val="0"/>
        <w:pageBreakBefore w:val="0"/>
        <w:widowControl w:val="0"/>
        <w:kinsoku/>
        <w:wordWrap/>
        <w:overflowPunct/>
        <w:topLinePunct w:val="0"/>
        <w:autoSpaceDE/>
        <w:autoSpaceDN/>
        <w:bidi w:val="0"/>
        <w:adjustRightInd/>
        <w:snapToGrid/>
        <w:spacing w:line="360" w:lineRule="auto"/>
        <w:ind w:right="210" w:rightChars="100" w:firstLine="480" w:firstLineChars="200"/>
        <w:jc w:val="left"/>
        <w:textAlignment w:val="auto"/>
        <w:rPr>
          <w:rFonts w:ascii="仿宋_GB2312" w:eastAsia="仿宋_GB2312"/>
          <w:sz w:val="24"/>
        </w:rPr>
      </w:pPr>
      <w:r>
        <w:rPr>
          <w:rFonts w:hint="eastAsia" w:ascii="仿宋_GB2312" w:eastAsia="仿宋_GB2312"/>
          <w:sz w:val="24"/>
        </w:rPr>
        <w:t>承办：深圳市药品检验研究院，东北农业大学动物医学学院</w:t>
      </w:r>
    </w:p>
    <w:p w14:paraId="00B0C443">
      <w:pPr>
        <w:keepNext w:val="0"/>
        <w:keepLines w:val="0"/>
        <w:pageBreakBefore w:val="0"/>
        <w:widowControl w:val="0"/>
        <w:kinsoku/>
        <w:wordWrap/>
        <w:overflowPunct/>
        <w:topLinePunct w:val="0"/>
        <w:autoSpaceDE/>
        <w:autoSpaceDN/>
        <w:bidi w:val="0"/>
        <w:adjustRightInd/>
        <w:snapToGrid/>
        <w:spacing w:line="360" w:lineRule="auto"/>
        <w:ind w:right="210" w:rightChars="100" w:firstLine="480" w:firstLineChars="200"/>
        <w:jc w:val="left"/>
        <w:textAlignment w:val="auto"/>
        <w:rPr>
          <w:rFonts w:ascii="仿宋_GB2312" w:eastAsia="仿宋_GB2312"/>
          <w:sz w:val="24"/>
        </w:rPr>
      </w:pPr>
      <w:r>
        <w:rPr>
          <w:rFonts w:hint="eastAsia" w:ascii="仿宋_GB2312" w:eastAsia="仿宋_GB2312"/>
          <w:sz w:val="24"/>
        </w:rPr>
        <w:t>协办：中国毒理学会毒性病理学专委会，中国医学装备协会病理装备分会，中国实验动物学会实验病理学专委会，广东省实验动物学会，深圳市宏略创新管理研究院，深圳市分析测试协会，广东省药品监督管理局实验病理学重点实验室</w:t>
      </w:r>
    </w:p>
    <w:p w14:paraId="186601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sz w:val="24"/>
        </w:rPr>
      </w:pPr>
      <w:r>
        <w:rPr>
          <w:rFonts w:hint="eastAsia" w:ascii="黑体" w:hAnsi="黑体" w:eastAsia="黑体"/>
          <w:sz w:val="24"/>
        </w:rPr>
        <w:t>二、时间及地点</w:t>
      </w:r>
    </w:p>
    <w:p w14:paraId="1C5095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仿宋_GB2312" w:eastAsia="仿宋_GB2312"/>
          <w:bCs/>
          <w:sz w:val="24"/>
        </w:rPr>
      </w:pPr>
      <w:r>
        <w:rPr>
          <w:rFonts w:hint="eastAsia" w:ascii="仿宋_GB2312" w:eastAsia="仿宋_GB2312"/>
          <w:bCs/>
          <w:sz w:val="24"/>
        </w:rPr>
        <w:t>腾讯会议：625-2439-2306（免费参会）</w:t>
      </w:r>
    </w:p>
    <w:p w14:paraId="5A8BCBBB">
      <w:pPr>
        <w:keepNext w:val="0"/>
        <w:keepLines w:val="0"/>
        <w:pageBreakBefore w:val="0"/>
        <w:widowControl w:val="0"/>
        <w:kinsoku/>
        <w:wordWrap/>
        <w:overflowPunct/>
        <w:topLinePunct w:val="0"/>
        <w:autoSpaceDE/>
        <w:autoSpaceDN/>
        <w:bidi w:val="0"/>
        <w:adjustRightInd/>
        <w:snapToGrid/>
        <w:spacing w:line="360" w:lineRule="auto"/>
        <w:ind w:right="210" w:rightChars="100" w:firstLine="480" w:firstLineChars="200"/>
        <w:jc w:val="left"/>
        <w:textAlignment w:val="auto"/>
        <w:rPr>
          <w:rFonts w:hint="eastAsia" w:ascii="黑体" w:hAnsi="黑体" w:eastAsia="黑体"/>
          <w:sz w:val="24"/>
        </w:rPr>
      </w:pPr>
      <w:r>
        <w:rPr>
          <w:rFonts w:hint="eastAsia" w:ascii="黑体" w:hAnsi="黑体" w:eastAsia="黑体"/>
          <w:sz w:val="24"/>
        </w:rPr>
        <w:t>三、培训时间：</w:t>
      </w:r>
      <w:r>
        <w:rPr>
          <w:rFonts w:hint="eastAsia" w:ascii="仿宋_GB2312" w:eastAsia="仿宋_GB2312"/>
          <w:bCs/>
          <w:sz w:val="24"/>
        </w:rPr>
        <w:t>2026年7月</w:t>
      </w:r>
      <w:r>
        <w:rPr>
          <w:rFonts w:hint="eastAsia" w:ascii="仿宋_GB2312" w:eastAsia="仿宋_GB2312"/>
          <w:bCs/>
          <w:sz w:val="24"/>
          <w:lang w:val="en-US" w:eastAsia="zh-CN"/>
        </w:rPr>
        <w:t>26</w:t>
      </w:r>
      <w:r>
        <w:rPr>
          <w:rFonts w:hint="eastAsia" w:ascii="仿宋_GB2312" w:eastAsia="仿宋_GB2312"/>
          <w:bCs/>
          <w:sz w:val="24"/>
        </w:rPr>
        <w:t>日（周</w:t>
      </w:r>
      <w:r>
        <w:rPr>
          <w:rFonts w:hint="eastAsia" w:ascii="仿宋_GB2312" w:eastAsia="仿宋_GB2312"/>
          <w:bCs/>
          <w:sz w:val="24"/>
          <w:lang w:val="en-US" w:eastAsia="zh-CN"/>
        </w:rPr>
        <w:t>日</w:t>
      </w:r>
      <w:r>
        <w:rPr>
          <w:rFonts w:hint="eastAsia" w:ascii="仿宋_GB2312" w:eastAsia="仿宋_GB2312"/>
          <w:bCs/>
          <w:sz w:val="24"/>
        </w:rPr>
        <w:t>） 14:00-18:00</w:t>
      </w:r>
    </w:p>
    <w:p w14:paraId="625C92F3">
      <w:pPr>
        <w:keepNext w:val="0"/>
        <w:keepLines w:val="0"/>
        <w:pageBreakBefore w:val="0"/>
        <w:widowControl w:val="0"/>
        <w:kinsoku/>
        <w:wordWrap/>
        <w:overflowPunct/>
        <w:topLinePunct w:val="0"/>
        <w:autoSpaceDE/>
        <w:autoSpaceDN/>
        <w:bidi w:val="0"/>
        <w:adjustRightInd/>
        <w:snapToGrid/>
        <w:spacing w:line="360" w:lineRule="auto"/>
        <w:ind w:right="210" w:rightChars="100" w:firstLine="482" w:firstLineChars="200"/>
        <w:jc w:val="left"/>
        <w:textAlignment w:val="auto"/>
        <w:rPr>
          <w:rFonts w:hint="eastAsia" w:ascii="仿宋_GB2312" w:eastAsia="仿宋_GB2312"/>
          <w:b/>
          <w:bCs/>
          <w:sz w:val="24"/>
        </w:rPr>
      </w:pPr>
      <w:r>
        <w:rPr>
          <w:rFonts w:hint="eastAsia" w:ascii="仿宋_GB2312" w:eastAsia="仿宋_GB2312"/>
          <w:b/>
          <w:bCs/>
          <w:sz w:val="24"/>
        </w:rPr>
        <w:t>水生动物病理与药理与新技术</w:t>
      </w:r>
    </w:p>
    <w:p w14:paraId="16D4EC84">
      <w:pPr>
        <w:keepNext w:val="0"/>
        <w:keepLines w:val="0"/>
        <w:pageBreakBefore w:val="0"/>
        <w:widowControl w:val="0"/>
        <w:kinsoku/>
        <w:wordWrap/>
        <w:overflowPunct/>
        <w:topLinePunct w:val="0"/>
        <w:autoSpaceDE/>
        <w:autoSpaceDN/>
        <w:bidi w:val="0"/>
        <w:adjustRightInd/>
        <w:snapToGrid/>
        <w:spacing w:line="360" w:lineRule="auto"/>
        <w:ind w:right="210" w:rightChars="100" w:firstLine="480" w:firstLineChars="200"/>
        <w:jc w:val="left"/>
        <w:textAlignment w:val="auto"/>
        <w:rPr>
          <w:rFonts w:hint="eastAsia" w:ascii="仿宋_GB2312" w:eastAsia="仿宋_GB2312"/>
          <w:sz w:val="24"/>
        </w:rPr>
      </w:pPr>
      <w:r>
        <w:rPr>
          <w:rFonts w:hint="eastAsia" w:ascii="仿宋_GB2312" w:eastAsia="仿宋_GB2312"/>
          <w:sz w:val="24"/>
        </w:rPr>
        <w:t>主持嘉宾：黄锦炉，广东海大研究院</w:t>
      </w:r>
    </w:p>
    <w:p w14:paraId="4BB75339">
      <w:pPr>
        <w:keepNext w:val="0"/>
        <w:keepLines w:val="0"/>
        <w:pageBreakBefore w:val="0"/>
        <w:widowControl w:val="0"/>
        <w:kinsoku/>
        <w:wordWrap/>
        <w:overflowPunct/>
        <w:topLinePunct w:val="0"/>
        <w:autoSpaceDE/>
        <w:autoSpaceDN/>
        <w:bidi w:val="0"/>
        <w:adjustRightInd/>
        <w:snapToGrid/>
        <w:spacing w:line="360" w:lineRule="auto"/>
        <w:ind w:right="210" w:rightChars="100" w:firstLine="480" w:firstLineChars="200"/>
        <w:jc w:val="left"/>
        <w:textAlignment w:val="auto"/>
        <w:rPr>
          <w:rFonts w:ascii="仿宋_GB2312" w:eastAsia="仿宋_GB2312"/>
          <w:sz w:val="24"/>
        </w:rPr>
      </w:pPr>
      <w:r>
        <w:rPr>
          <w:rFonts w:hint="eastAsia" w:ascii="仿宋_GB2312" w:eastAsia="仿宋_GB2312"/>
          <w:sz w:val="24"/>
        </w:rPr>
        <w:t>演讲内容：</w:t>
      </w:r>
    </w:p>
    <w:p w14:paraId="62C63B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480" w:firstLineChars="200"/>
        <w:jc w:val="left"/>
        <w:textAlignment w:val="auto"/>
        <w:rPr>
          <w:rFonts w:hint="eastAsia" w:ascii="仿宋_GB2312" w:eastAsia="仿宋_GB2312"/>
          <w:sz w:val="24"/>
        </w:rPr>
      </w:pPr>
      <w:r>
        <w:rPr>
          <w:rFonts w:hint="eastAsia" w:ascii="仿宋_GB2312" w:hAnsi="Times New Roman" w:eastAsia="仿宋_GB2312" w:cs="Times New Roman"/>
          <w:kern w:val="2"/>
          <w:sz w:val="24"/>
          <w:szCs w:val="24"/>
          <w:lang w:val="en-US" w:eastAsia="zh-CN" w:bidi="ar-SA"/>
        </w:rPr>
        <w:t>1、</w:t>
      </w:r>
      <w:r>
        <w:rPr>
          <w:rFonts w:hint="eastAsia" w:ascii="仿宋_GB2312" w:eastAsia="仿宋_GB2312"/>
          <w:sz w:val="24"/>
        </w:rPr>
        <w:t>大口黑鲈主要病害及防控中草药研发应用</w:t>
      </w:r>
      <w:r>
        <w:rPr>
          <w:rFonts w:hint="eastAsia" w:ascii="仿宋_GB2312" w:eastAsia="仿宋_GB2312"/>
          <w:sz w:val="24"/>
          <w:lang w:eastAsia="zh-CN"/>
        </w:rPr>
        <w:t>——黄小丽，四川农业大学水产学院</w:t>
      </w:r>
    </w:p>
    <w:p w14:paraId="0E8E54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480" w:firstLineChars="200"/>
        <w:jc w:val="left"/>
        <w:textAlignment w:val="auto"/>
        <w:rPr>
          <w:rFonts w:hint="eastAsia" w:ascii="仿宋_GB2312" w:eastAsia="仿宋_GB2312"/>
          <w:sz w:val="24"/>
        </w:rPr>
      </w:pPr>
      <w:r>
        <w:rPr>
          <w:rFonts w:hint="eastAsia" w:ascii="仿宋_GB2312" w:hAnsi="Times New Roman" w:eastAsia="仿宋_GB2312" w:cs="Times New Roman"/>
          <w:kern w:val="2"/>
          <w:sz w:val="24"/>
          <w:szCs w:val="24"/>
          <w:lang w:val="en-US" w:eastAsia="zh-CN" w:bidi="ar-SA"/>
        </w:rPr>
        <w:t>2、</w:t>
      </w:r>
      <w:r>
        <w:rPr>
          <w:rFonts w:hint="eastAsia" w:ascii="仿宋_GB2312" w:eastAsia="仿宋_GB2312"/>
          <w:sz w:val="24"/>
        </w:rPr>
        <w:t>基于石蜡切片超多重染色技术的单细胞空间图谱绘制以及空间分析策略——赵成建，四川大学生物治疗全国重点实验室，明虹天成生物科技有限公司</w:t>
      </w:r>
    </w:p>
    <w:p w14:paraId="297DB0DB">
      <w:pPr>
        <w:keepNext w:val="0"/>
        <w:keepLines w:val="0"/>
        <w:pageBreakBefore w:val="0"/>
        <w:widowControl w:val="0"/>
        <w:kinsoku/>
        <w:wordWrap/>
        <w:overflowPunct/>
        <w:topLinePunct w:val="0"/>
        <w:autoSpaceDE/>
        <w:autoSpaceDN/>
        <w:bidi w:val="0"/>
        <w:adjustRightInd/>
        <w:snapToGrid/>
        <w:spacing w:line="360" w:lineRule="auto"/>
        <w:ind w:right="210" w:rightChars="100" w:firstLine="480" w:firstLineChars="200"/>
        <w:jc w:val="left"/>
        <w:textAlignment w:val="auto"/>
        <w:rPr>
          <w:rFonts w:hint="eastAsia" w:ascii="黑体" w:hAnsi="黑体" w:eastAsia="黑体"/>
          <w:sz w:val="24"/>
        </w:rPr>
      </w:pPr>
      <w:r>
        <w:rPr>
          <w:rFonts w:hint="eastAsia" w:ascii="黑体" w:hAnsi="黑体" w:eastAsia="黑体"/>
          <w:sz w:val="24"/>
        </w:rPr>
        <w:t>四、会务负责</w:t>
      </w:r>
    </w:p>
    <w:p w14:paraId="4114CF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480" w:firstLineChars="200"/>
        <w:jc w:val="left"/>
        <w:textAlignment w:val="auto"/>
        <w:rPr>
          <w:rFonts w:hint="eastAsia" w:ascii="仿宋_GB2312" w:eastAsia="仿宋_GB2312"/>
          <w:sz w:val="24"/>
        </w:rPr>
      </w:pPr>
      <w:r>
        <w:rPr>
          <w:rFonts w:hint="eastAsia" w:ascii="仿宋_GB2312" w:eastAsia="仿宋_GB2312"/>
          <w:sz w:val="24"/>
          <w:lang w:eastAsia="zh-CN"/>
        </w:rPr>
        <w:t>四川农业大学水产学院</w:t>
      </w:r>
    </w:p>
    <w:p w14:paraId="70279010">
      <w:pPr>
        <w:keepNext w:val="0"/>
        <w:keepLines w:val="0"/>
        <w:pageBreakBefore w:val="0"/>
        <w:widowControl w:val="0"/>
        <w:kinsoku/>
        <w:wordWrap/>
        <w:overflowPunct/>
        <w:topLinePunct w:val="0"/>
        <w:autoSpaceDE/>
        <w:autoSpaceDN/>
        <w:bidi w:val="0"/>
        <w:adjustRightInd/>
        <w:snapToGrid/>
        <w:spacing w:line="360" w:lineRule="auto"/>
        <w:ind w:right="210" w:rightChars="100" w:firstLine="480" w:firstLineChars="200"/>
        <w:jc w:val="left"/>
        <w:textAlignment w:val="auto"/>
        <w:rPr>
          <w:rFonts w:hint="eastAsia" w:ascii="黑体" w:hAnsi="黑体" w:eastAsia="黑体"/>
          <w:sz w:val="24"/>
        </w:rPr>
      </w:pPr>
      <w:r>
        <w:rPr>
          <w:rFonts w:hint="eastAsia" w:ascii="黑体" w:hAnsi="黑体" w:eastAsia="黑体"/>
          <w:sz w:val="24"/>
        </w:rPr>
        <w:t>五、媒体支持</w:t>
      </w:r>
    </w:p>
    <w:p w14:paraId="38CE99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sz w:val="24"/>
        </w:rPr>
      </w:pPr>
      <w:r>
        <w:rPr>
          <w:rFonts w:hint="eastAsia" w:ascii="仿宋_GB2312" w:hAnsi="仿宋" w:eastAsia="仿宋_GB2312"/>
          <w:sz w:val="24"/>
        </w:rPr>
        <w:t>公众号“镜下的真理”，服务号“逐梦病理”</w:t>
      </w:r>
      <w:bookmarkStart w:id="0" w:name="_GoBack"/>
      <w:bookmarkEnd w:id="0"/>
    </w:p>
    <w:p w14:paraId="071C4E0D">
      <w:pPr>
        <w:keepNext w:val="0"/>
        <w:keepLines w:val="0"/>
        <w:pageBreakBefore w:val="0"/>
        <w:widowControl w:val="0"/>
        <w:kinsoku/>
        <w:wordWrap/>
        <w:overflowPunct/>
        <w:topLinePunct w:val="0"/>
        <w:autoSpaceDE/>
        <w:autoSpaceDN/>
        <w:bidi w:val="0"/>
        <w:adjustRightInd/>
        <w:snapToGrid/>
        <w:spacing w:line="360" w:lineRule="auto"/>
        <w:ind w:left="6639" w:leftChars="3154" w:hanging="16" w:hangingChars="7"/>
        <w:jc w:val="left"/>
        <w:textAlignment w:val="auto"/>
        <w:rPr>
          <w:rFonts w:hint="eastAsia" w:ascii="仿宋_GB2312" w:hAnsi="仿宋" w:eastAsia="仿宋_GB2312"/>
          <w:sz w:val="24"/>
        </w:rPr>
      </w:pPr>
    </w:p>
    <w:p w14:paraId="38DF12C3">
      <w:pPr>
        <w:keepNext w:val="0"/>
        <w:keepLines w:val="0"/>
        <w:pageBreakBefore w:val="0"/>
        <w:widowControl w:val="0"/>
        <w:kinsoku/>
        <w:wordWrap/>
        <w:overflowPunct/>
        <w:topLinePunct w:val="0"/>
        <w:autoSpaceDE/>
        <w:autoSpaceDN/>
        <w:bidi w:val="0"/>
        <w:adjustRightInd/>
        <w:snapToGrid/>
        <w:spacing w:line="360" w:lineRule="auto"/>
        <w:ind w:left="6639" w:leftChars="3154" w:hanging="16" w:hangingChars="7"/>
        <w:jc w:val="left"/>
        <w:textAlignment w:val="auto"/>
        <w:rPr>
          <w:rFonts w:hint="eastAsia" w:ascii="仿宋_GB2312" w:hAnsi="仿宋" w:eastAsia="仿宋_GB2312"/>
          <w:sz w:val="24"/>
        </w:rPr>
      </w:pPr>
    </w:p>
    <w:p w14:paraId="68DC9AA8">
      <w:pPr>
        <w:keepNext w:val="0"/>
        <w:keepLines w:val="0"/>
        <w:pageBreakBefore w:val="0"/>
        <w:widowControl w:val="0"/>
        <w:kinsoku/>
        <w:wordWrap/>
        <w:overflowPunct/>
        <w:topLinePunct w:val="0"/>
        <w:autoSpaceDE/>
        <w:autoSpaceDN/>
        <w:bidi w:val="0"/>
        <w:adjustRightInd/>
        <w:snapToGrid/>
        <w:spacing w:line="360" w:lineRule="auto"/>
        <w:ind w:left="6639" w:leftChars="3154" w:hanging="16" w:hangingChars="7"/>
        <w:jc w:val="left"/>
        <w:textAlignment w:val="auto"/>
        <w:rPr>
          <w:rFonts w:hint="eastAsia" w:ascii="仿宋_GB2312" w:hAnsi="仿宋_GB2312" w:eastAsia="仿宋_GB2312"/>
          <w:sz w:val="24"/>
        </w:rPr>
      </w:pPr>
      <w:r>
        <w:rPr>
          <w:rFonts w:hint="eastAsia" w:ascii="仿宋_GB2312" w:hAnsi="仿宋" w:eastAsia="仿宋_GB2312"/>
          <w:sz w:val="24"/>
        </w:rPr>
        <w:t>深圳市专家人才联合会</w:t>
      </w:r>
    </w:p>
    <w:p w14:paraId="64304DB6">
      <w:pPr>
        <w:keepNext w:val="0"/>
        <w:keepLines w:val="0"/>
        <w:pageBreakBefore w:val="0"/>
        <w:widowControl w:val="0"/>
        <w:kinsoku/>
        <w:wordWrap/>
        <w:overflowPunct/>
        <w:topLinePunct w:val="0"/>
        <w:autoSpaceDE/>
        <w:autoSpaceDN/>
        <w:bidi w:val="0"/>
        <w:adjustRightInd/>
        <w:snapToGrid/>
        <w:spacing w:line="360" w:lineRule="auto"/>
        <w:ind w:left="4229" w:leftChars="399" w:hanging="3391" w:hangingChars="1413"/>
        <w:jc w:val="center"/>
        <w:textAlignment w:val="auto"/>
        <w:rPr>
          <w:rFonts w:hint="eastAsia" w:ascii="仿宋_GB2312" w:hAnsi="仿宋_GB2312" w:eastAsia="仿宋_GB2312"/>
          <w:sz w:val="24"/>
        </w:rPr>
      </w:pPr>
      <w:r>
        <w:rPr>
          <w:rFonts w:hint="eastAsia" w:ascii="仿宋_GB2312" w:hAnsi="仿宋_GB2312" w:eastAsia="仿宋_GB2312"/>
          <w:sz w:val="24"/>
        </w:rPr>
        <w:t xml:space="preserve">                                            2026年</w:t>
      </w:r>
      <w:r>
        <w:rPr>
          <w:rFonts w:hint="eastAsia" w:ascii="仿宋_GB2312" w:hAnsi="仿宋_GB2312" w:eastAsia="仿宋_GB2312"/>
          <w:sz w:val="24"/>
          <w:lang w:val="en-US" w:eastAsia="zh-CN"/>
        </w:rPr>
        <w:t>7</w:t>
      </w:r>
      <w:r>
        <w:rPr>
          <w:rFonts w:hint="eastAsia" w:ascii="仿宋_GB2312" w:hAnsi="仿宋_GB2312" w:eastAsia="仿宋_GB2312"/>
          <w:sz w:val="24"/>
        </w:rPr>
        <w:t>月</w:t>
      </w:r>
      <w:r>
        <w:rPr>
          <w:rFonts w:hint="eastAsia" w:ascii="仿宋_GB2312" w:hAnsi="仿宋_GB2312" w:eastAsia="仿宋_GB2312"/>
          <w:sz w:val="24"/>
          <w:lang w:val="en-US" w:eastAsia="zh-CN"/>
        </w:rPr>
        <w:t>20</w:t>
      </w:r>
      <w:r>
        <w:rPr>
          <w:rFonts w:hint="eastAsia" w:ascii="仿宋_GB2312" w:hAnsi="仿宋_GB2312" w:eastAsia="仿宋_GB2312"/>
          <w:sz w:val="24"/>
        </w:rPr>
        <w:t>日</w:t>
      </w:r>
    </w:p>
    <w:sectPr>
      <w:footerReference r:id="rId3" w:type="default"/>
      <w:footerReference r:id="rId4" w:type="even"/>
      <w:pgSz w:w="11907" w:h="16840"/>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0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71E7C">
    <w:pPr>
      <w:pStyle w:val="10"/>
      <w:tabs>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8AF6">
    <w:pPr>
      <w:pStyle w:val="10"/>
      <w:framePr w:wrap="around" w:vAnchor="text" w:hAnchor="margin" w:xAlign="right" w:y="1"/>
      <w:tabs>
        <w:tab w:val="clear" w:pos="4153"/>
        <w:tab w:val="clear" w:pos="8306"/>
      </w:tabs>
      <w:rPr>
        <w:rStyle w:val="11"/>
      </w:rPr>
    </w:pPr>
    <w:r>
      <w:rPr>
        <w:rStyle w:val="11"/>
      </w:rPr>
      <w:fldChar w:fldCharType="begin"/>
    </w:r>
    <w:r>
      <w:rPr>
        <w:rStyle w:val="11"/>
      </w:rPr>
      <w:instrText xml:space="preserve">PAGE  </w:instrText>
    </w:r>
    <w:r>
      <w:rPr>
        <w:rStyle w:val="11"/>
      </w:rPr>
      <w:fldChar w:fldCharType="end"/>
    </w:r>
  </w:p>
  <w:p w14:paraId="09E104E5">
    <w:pPr>
      <w:pStyle w:val="10"/>
      <w:tabs>
        <w:tab w:val="clear" w:pos="4153"/>
        <w:tab w:val="clear" w:pos="8306"/>
      </w:tabs>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FC7B7B"/>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qFormat/>
    <w:uiPriority w:val="1"/>
  </w:style>
  <w:style w:type="table" w:default="1" w:styleId="5">
    <w:name w:val="Normal Table"/>
    <w:uiPriority w:val="99"/>
    <w:tblPr>
      <w:tblCellMar>
        <w:top w:w="0" w:type="dxa"/>
        <w:left w:w="108" w:type="dxa"/>
        <w:bottom w:w="0" w:type="dxa"/>
        <w:right w:w="108" w:type="dxa"/>
      </w:tblCellMar>
    </w:tblPr>
  </w:style>
  <w:style w:type="paragraph" w:styleId="2">
    <w:name w:val="Balloon Text"/>
    <w:basedOn w:val="1"/>
    <w:link w:val="15"/>
    <w:qFormat/>
    <w:uiPriority w:val="99"/>
    <w:rPr>
      <w:sz w:val="18"/>
      <w:szCs w:val="18"/>
    </w:rPr>
  </w:style>
  <w:style w:type="paragraph" w:styleId="3">
    <w:name w:val="footer"/>
    <w:basedOn w:val="1"/>
    <w:link w:val="17"/>
    <w:qFormat/>
    <w:uiPriority w:val="99"/>
    <w:pPr>
      <w:tabs>
        <w:tab w:val="center" w:pos="4153"/>
        <w:tab w:val="right" w:pos="8306"/>
      </w:tabs>
      <w:snapToGrid w:val="0"/>
      <w:jc w:val="left"/>
    </w:pPr>
    <w:rPr>
      <w:sz w:val="18"/>
      <w:szCs w:val="18"/>
    </w:rPr>
  </w:style>
  <w:style w:type="paragraph" w:styleId="4">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qFormat/>
    <w:uiPriority w:val="99"/>
    <w:rPr>
      <w:color w:val="0563C1"/>
      <w:u w:val="single"/>
    </w:rPr>
  </w:style>
  <w:style w:type="paragraph" w:customStyle="1" w:styleId="10">
    <w:name w:val="页脚1"/>
    <w:basedOn w:val="1"/>
    <w:qFormat/>
    <w:uiPriority w:val="0"/>
    <w:pPr>
      <w:tabs>
        <w:tab w:val="center" w:pos="4153"/>
        <w:tab w:val="right" w:pos="8306"/>
      </w:tabs>
      <w:snapToGrid w:val="0"/>
      <w:jc w:val="left"/>
    </w:pPr>
    <w:rPr>
      <w:sz w:val="18"/>
      <w:szCs w:val="18"/>
    </w:rPr>
  </w:style>
  <w:style w:type="character" w:customStyle="1" w:styleId="11">
    <w:name w:val="页码1"/>
    <w:qFormat/>
    <w:uiPriority w:val="0"/>
  </w:style>
  <w:style w:type="character" w:customStyle="1" w:styleId="12">
    <w:name w:val="10"/>
    <w:basedOn w:val="7"/>
    <w:qFormat/>
    <w:uiPriority w:val="0"/>
    <w:rPr>
      <w:rFonts w:hint="default" w:ascii="Calibri" w:hAnsi="Calibri" w:cs="Calibri"/>
    </w:rPr>
  </w:style>
  <w:style w:type="character" w:customStyle="1" w:styleId="13">
    <w:name w:val="15"/>
    <w:basedOn w:val="7"/>
    <w:qFormat/>
    <w:uiPriority w:val="0"/>
    <w:rPr>
      <w:rFonts w:hint="default" w:ascii="Calibri" w:hAnsi="Calibri" w:cs="Calibri"/>
      <w:color w:val="0563C1"/>
      <w:u w:val="single"/>
    </w:rPr>
  </w:style>
  <w:style w:type="paragraph" w:styleId="14">
    <w:name w:val="List Paragraph"/>
    <w:basedOn w:val="1"/>
    <w:qFormat/>
    <w:uiPriority w:val="99"/>
    <w:pPr>
      <w:ind w:firstLine="420" w:firstLineChars="200"/>
    </w:pPr>
  </w:style>
  <w:style w:type="character" w:customStyle="1" w:styleId="15">
    <w:name w:val="批注框文本 字符"/>
    <w:basedOn w:val="7"/>
    <w:link w:val="2"/>
    <w:qFormat/>
    <w:uiPriority w:val="99"/>
    <w:rPr>
      <w:kern w:val="2"/>
      <w:sz w:val="18"/>
      <w:szCs w:val="18"/>
    </w:rPr>
  </w:style>
  <w:style w:type="character" w:customStyle="1" w:styleId="16">
    <w:name w:val="页眉 字符"/>
    <w:basedOn w:val="7"/>
    <w:link w:val="4"/>
    <w:qFormat/>
    <w:uiPriority w:val="99"/>
    <w:rPr>
      <w:kern w:val="2"/>
      <w:sz w:val="18"/>
      <w:szCs w:val="18"/>
    </w:rPr>
  </w:style>
  <w:style w:type="character" w:customStyle="1" w:styleId="17">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456</Words>
  <Characters>495</Characters>
  <Paragraphs>28</Paragraphs>
  <TotalTime>4</TotalTime>
  <ScaleCrop>false</ScaleCrop>
  <LinksUpToDate>false</LinksUpToDate>
  <CharactersWithSpaces>540</CharactersWithSpaces>
  <Application>WPS Office_12.1.0.26899_F1E327BC-269C-435d-A152-05C5408002CA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2026-03-16T01:21:00Z</dcterms:created>
  <dc:creator>z2220</dc:creator>
  <cp:lastModifiedBy>木子</cp:lastModifiedBy>
  <dcterms:modified xsi:type="dcterms:W3CDTF">2026-07-20T01:28:45Z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2052-12.1.0.26899</vt:lpwstr>
  </property>
  <property fmtid="{D5CDD505-2E9C-101B-9397-08002B2CF9AE}" pid="3" name="KSOTemplateDocerSaveRecord">
    <vt:lpwstr>eyJoZGlkIjoiYzNkODkwM2Q3MTlkMTcxODRiOTVmZDYzNjU3YWNlOTYiLCJ1c2VySWQiOiI3NzM5NDU0NTUifQ==</vt:lpwstr>
  </property>
  <property fmtid="{D5CDD505-2E9C-101B-9397-08002B2CF9AE}" pid="4" name="ICV">
    <vt:lpwstr>A6ED99E68F674FD1B4058C611D6A3BD9_13</vt:lpwstr>
  </property>
</Properties>
</file>