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2FB5B">
      <w:pPr>
        <w:ind w:left="-141" w:leftChars="-67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drawing>
          <wp:inline distT="0" distB="0" distL="0" distR="0">
            <wp:extent cx="6178550" cy="927735"/>
            <wp:effectExtent l="0" t="0" r="12700" b="5715"/>
            <wp:docPr id="1026" name="图片 1" descr="a442c33d65ca02a661cf509d708b73c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a442c33d65ca02a661cf509d708b73cf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57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left="-141" w:leftChars="-67"/>
        <w:jc w:val="center"/>
        <w:textAlignment w:val="auto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关于举办2026年度（第</w:t>
      </w:r>
      <w:r>
        <w:rPr>
          <w:rFonts w:hint="default" w:hAnsi="华文中宋" w:eastAsia="华文中宋"/>
          <w:b/>
          <w:sz w:val="32"/>
          <w:szCs w:val="32"/>
          <w:lang w:val="en-US"/>
        </w:rPr>
        <w:t>3</w:t>
      </w:r>
      <w:r>
        <w:rPr>
          <w:rFonts w:hint="eastAsia" w:hAnsi="华文中宋" w:eastAsia="华文中宋"/>
          <w:b/>
          <w:sz w:val="32"/>
          <w:szCs w:val="32"/>
          <w:lang w:val="en-US" w:eastAsia="zh-CN"/>
        </w:rPr>
        <w:t>9</w:t>
      </w:r>
      <w:r>
        <w:rPr>
          <w:rFonts w:hint="eastAsia" w:ascii="华文中宋" w:hAnsi="华文中宋" w:eastAsia="华文中宋"/>
          <w:b/>
          <w:sz w:val="32"/>
          <w:szCs w:val="32"/>
        </w:rPr>
        <w:t>次）实验病理学公益网络学习会的通知</w:t>
      </w:r>
    </w:p>
    <w:p w14:paraId="2B072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为促进实验病理学从业人员的学术交流，开展实验病理学公益网络学习会，自2019年起，已进入第8个年头，本次学习会是第3</w:t>
      </w:r>
      <w:r>
        <w:rPr>
          <w:rFonts w:hint="eastAsia" w:ascii="仿宋_GB2312" w:eastAsia="仿宋_GB2312"/>
          <w:sz w:val="24"/>
          <w:lang w:val="en-US" w:eastAsia="zh-CN"/>
        </w:rPr>
        <w:t>33</w:t>
      </w:r>
      <w:r>
        <w:rPr>
          <w:rFonts w:hint="eastAsia" w:ascii="仿宋_GB2312" w:eastAsia="仿宋_GB2312"/>
          <w:sz w:val="24"/>
        </w:rPr>
        <w:t>次学习会。</w:t>
      </w:r>
    </w:p>
    <w:p w14:paraId="6CDA2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480" w:firstLineChars="200"/>
        <w:jc w:val="lef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一、组织机构</w:t>
      </w:r>
    </w:p>
    <w:p w14:paraId="19013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主办：深圳市专家人才联合会</w:t>
      </w:r>
    </w:p>
    <w:p w14:paraId="7BC67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承办：深圳市药品检验研究院，东北农业大学动物医学学院</w:t>
      </w:r>
    </w:p>
    <w:p w14:paraId="16A64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协办：中国毒理学会毒性病理学专委会，中国医学装备协会病理装备分会，中国实验动物学会实验病理学专委会，广东省实验动物学会，深圳市宏略创新管理研究院，深圳市分析测试协会，广东省药品监督管理局实验病理学重点实验室</w:t>
      </w:r>
    </w:p>
    <w:p w14:paraId="13E83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480" w:firstLineChars="200"/>
        <w:jc w:val="lef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二、时间及地点</w:t>
      </w:r>
    </w:p>
    <w:p w14:paraId="2022C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480" w:firstLineChars="200"/>
        <w:jc w:val="left"/>
        <w:textAlignment w:val="auto"/>
        <w:rPr>
          <w:rFonts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腾讯会议：625-2439-2306（免费参会）</w:t>
      </w:r>
    </w:p>
    <w:p w14:paraId="72AC09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0" w:firstLineChars="200"/>
        <w:jc w:val="left"/>
        <w:textAlignment w:val="auto"/>
        <w:rPr>
          <w:rFonts w:ascii="黑体" w:hAnsi="黑体" w:eastAsia="黑体"/>
          <w:sz w:val="24"/>
        </w:rPr>
      </w:pPr>
      <w:r>
        <w:rPr>
          <w:rFonts w:hint="eastAsia" w:ascii="仿宋_GB2312" w:eastAsia="仿宋_GB2312"/>
          <w:bCs/>
          <w:sz w:val="24"/>
        </w:rPr>
        <w:t>培训时间：2026年</w:t>
      </w:r>
      <w:r>
        <w:rPr>
          <w:rFonts w:hint="eastAsia" w:ascii="仿宋_GB2312" w:eastAsia="仿宋_GB2312"/>
          <w:bCs/>
          <w:sz w:val="24"/>
          <w:lang w:val="en-US" w:eastAsia="zh-CN"/>
        </w:rPr>
        <w:t>8</w:t>
      </w:r>
      <w:r>
        <w:rPr>
          <w:rFonts w:hint="eastAsia" w:ascii="仿宋_GB2312" w:eastAsia="仿宋_GB2312"/>
          <w:bCs/>
          <w:sz w:val="24"/>
        </w:rPr>
        <w:t>月</w:t>
      </w:r>
      <w:r>
        <w:rPr>
          <w:rFonts w:hint="eastAsia" w:ascii="仿宋_GB2312" w:eastAsia="仿宋_GB2312"/>
          <w:bCs/>
          <w:sz w:val="24"/>
          <w:lang w:val="en-US" w:eastAsia="zh-CN"/>
        </w:rPr>
        <w:t>10</w:t>
      </w:r>
      <w:r>
        <w:rPr>
          <w:rFonts w:hint="eastAsia" w:ascii="仿宋_GB2312" w:eastAsia="仿宋_GB2312"/>
          <w:bCs/>
          <w:sz w:val="24"/>
        </w:rPr>
        <w:t>日（周</w:t>
      </w:r>
      <w:r>
        <w:rPr>
          <w:rFonts w:hint="eastAsia" w:ascii="仿宋_GB2312" w:eastAsia="仿宋_GB2312"/>
          <w:bCs/>
          <w:sz w:val="24"/>
          <w:lang w:val="en-US" w:eastAsia="zh-CN"/>
        </w:rPr>
        <w:t>一</w:t>
      </w:r>
      <w:r>
        <w:rPr>
          <w:rFonts w:hint="eastAsia" w:ascii="仿宋_GB2312" w:eastAsia="仿宋_GB2312"/>
          <w:bCs/>
          <w:sz w:val="24"/>
        </w:rPr>
        <w:t>） 1</w:t>
      </w:r>
      <w:r>
        <w:rPr>
          <w:rFonts w:hint="default" w:ascii="仿宋_GB2312" w:eastAsia="仿宋_GB2312"/>
          <w:bCs/>
          <w:sz w:val="24"/>
          <w:lang w:val="en-US"/>
        </w:rPr>
        <w:t>9</w:t>
      </w:r>
      <w:r>
        <w:rPr>
          <w:rFonts w:hint="eastAsia" w:ascii="仿宋_GB2312" w:eastAsia="仿宋_GB2312"/>
          <w:bCs/>
          <w:sz w:val="24"/>
          <w:lang w:val="en-US" w:eastAsia="zh-CN"/>
        </w:rPr>
        <w:t>：</w:t>
      </w:r>
      <w:r>
        <w:rPr>
          <w:rFonts w:hint="default" w:ascii="仿宋_GB2312" w:eastAsia="仿宋_GB2312"/>
          <w:bCs/>
          <w:sz w:val="24"/>
          <w:lang w:val="en-US" w:eastAsia="zh-CN"/>
        </w:rPr>
        <w:t>00-21</w:t>
      </w:r>
      <w:r>
        <w:rPr>
          <w:rFonts w:hint="eastAsia" w:ascii="仿宋_GB2312" w:eastAsia="仿宋_GB2312"/>
          <w:bCs/>
          <w:sz w:val="24"/>
          <w:lang w:val="en-US" w:eastAsia="zh-CN"/>
        </w:rPr>
        <w:t>：</w:t>
      </w:r>
      <w:r>
        <w:rPr>
          <w:rFonts w:hint="eastAsia" w:ascii="仿宋_GB2312" w:eastAsia="仿宋_GB2312"/>
          <w:bCs/>
          <w:sz w:val="24"/>
        </w:rPr>
        <w:t>00</w:t>
      </w:r>
    </w:p>
    <w:p w14:paraId="1E525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2" w:firstLineChars="200"/>
        <w:jc w:val="left"/>
        <w:textAlignment w:val="auto"/>
        <w:rPr>
          <w:rFonts w:hint="eastAsia" w:ascii="仿宋_GB2312" w:eastAsia="仿宋_GB2312"/>
          <w:b/>
          <w:bCs/>
          <w:sz w:val="24"/>
          <w:lang w:val="en-US" w:eastAsia="zh-CN"/>
        </w:rPr>
      </w:pPr>
      <w:r>
        <w:rPr>
          <w:rFonts w:hint="eastAsia" w:ascii="仿宋_GB2312" w:eastAsia="仿宋_GB2312"/>
          <w:b/>
          <w:bCs/>
          <w:sz w:val="24"/>
          <w:lang w:val="en-US" w:eastAsia="zh-CN"/>
        </w:rPr>
        <w:t>2026（南京）动物病理免疫组织化学技术标准化流程培训第二次线上培训</w:t>
      </w:r>
    </w:p>
    <w:p w14:paraId="8FB81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0" w:firstLineChars="200"/>
        <w:jc w:val="left"/>
        <w:textAlignment w:val="auto"/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</w:rPr>
        <w:t>主持嘉宾</w:t>
      </w:r>
      <w:r>
        <w:rPr>
          <w:rFonts w:hint="eastAsia" w:ascii="仿宋_GB2312" w:eastAsia="仿宋_GB2312"/>
          <w:sz w:val="24"/>
          <w:lang w:eastAsia="zh-CN"/>
        </w:rPr>
        <w:t>：</w:t>
      </w:r>
      <w:r>
        <w:rPr>
          <w:rFonts w:hint="default" w:ascii="仿宋_GB2312" w:eastAsia="仿宋_GB2312"/>
          <w:sz w:val="24"/>
          <w:lang w:val="en-US" w:eastAsia="zh-CN"/>
        </w:rPr>
        <w:t>金毅，深圳市药品检验研究院</w:t>
      </w:r>
      <w:r>
        <w:rPr>
          <w:rFonts w:hint="eastAsia" w:ascii="仿宋_GB2312" w:eastAsia="仿宋_GB2312"/>
          <w:sz w:val="24"/>
          <w:lang w:val="en-US" w:eastAsia="zh-CN"/>
        </w:rPr>
        <w:t>（</w:t>
      </w:r>
      <w:r>
        <w:rPr>
          <w:rFonts w:hint="default" w:ascii="仿宋_GB2312" w:eastAsia="仿宋_GB2312"/>
          <w:sz w:val="24"/>
          <w:lang w:val="en-US" w:eastAsia="zh-CN"/>
        </w:rPr>
        <w:t>深圳市医疗器械检测中心</w:t>
      </w:r>
      <w:r>
        <w:rPr>
          <w:rFonts w:hint="eastAsia" w:ascii="仿宋_GB2312" w:eastAsia="仿宋_GB2312"/>
          <w:sz w:val="24"/>
          <w:lang w:val="en-US" w:eastAsia="zh-CN"/>
        </w:rPr>
        <w:t>）</w:t>
      </w:r>
    </w:p>
    <w:p w14:paraId="E8BEB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  <w:lang w:eastAsia="zh-CN"/>
        </w:rPr>
        <w:t>演讲内容：</w:t>
      </w:r>
    </w:p>
    <w:p w14:paraId="7636B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0" w:firstLineChars="200"/>
        <w:jc w:val="left"/>
        <w:textAlignment w:val="auto"/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  <w:lang w:eastAsia="zh-CN"/>
        </w:rPr>
        <w:t>1.以问题为导向，识图辨真相——吴鸿雁，南京大学附属鼓楼医院</w:t>
      </w:r>
    </w:p>
    <w:p w14:paraId="7AAD4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0" w:firstLineChars="200"/>
        <w:jc w:val="left"/>
        <w:textAlignment w:val="auto"/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  <w:lang w:val="en-US" w:eastAsia="zh-CN"/>
        </w:rPr>
        <w:t>2.</w:t>
      </w:r>
      <w:r>
        <w:rPr>
          <w:rFonts w:hint="eastAsia" w:ascii="仿宋_GB2312" w:eastAsia="仿宋_GB2312"/>
          <w:sz w:val="24"/>
          <w:lang w:eastAsia="zh-CN"/>
        </w:rPr>
        <w:t>动物病理免疫组化答疑解惑——吴鸿雁，南京大学附属鼓楼医院</w:t>
      </w:r>
    </w:p>
    <w:p w14:paraId="21B65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0" w:firstLineChars="200"/>
        <w:jc w:val="left"/>
        <w:textAlignment w:val="auto"/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  <w:lang w:val="en-US" w:eastAsia="zh-CN"/>
        </w:rPr>
        <w:t>3.</w:t>
      </w:r>
      <w:r>
        <w:rPr>
          <w:rFonts w:hint="eastAsia" w:ascii="仿宋_GB2312" w:eastAsia="仿宋_GB2312"/>
          <w:sz w:val="24"/>
          <w:lang w:eastAsia="zh-CN"/>
        </w:rPr>
        <w:t>培训班筹备情况及学员的准备工作——金毅</w:t>
      </w:r>
    </w:p>
    <w:p w14:paraId="D9290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0" w:firstLineChars="200"/>
        <w:jc w:val="left"/>
        <w:textAlignment w:val="auto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  <w:lang w:val="en-US" w:eastAsia="zh-CN"/>
        </w:rPr>
        <w:t>4.</w:t>
      </w:r>
      <w:r>
        <w:rPr>
          <w:rFonts w:hint="eastAsia" w:ascii="仿宋_GB2312" w:eastAsia="仿宋_GB2312"/>
          <w:sz w:val="24"/>
          <w:lang w:eastAsia="zh-CN"/>
        </w:rPr>
        <w:t>培训班报名情况及培训班纪律——黄小丹，东北农业大学</w:t>
      </w:r>
    </w:p>
    <w:p w14:paraId="7EA54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0" w:firstLineChars="200"/>
        <w:jc w:val="lef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四、会务负责</w:t>
      </w:r>
    </w:p>
    <w:p w14:paraId="625FD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480" w:firstLineChars="200"/>
        <w:textAlignment w:val="auto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东北农业大学动物医学学院</w:t>
      </w:r>
    </w:p>
    <w:p w14:paraId="7578B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0" w:firstLineChars="200"/>
        <w:jc w:val="lef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五、媒体支持</w:t>
      </w:r>
    </w:p>
    <w:p w14:paraId="1A4A0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480" w:firstLineChars="200"/>
        <w:textAlignment w:val="auto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公众号“镜下的真理”，服务号“逐梦病理”</w:t>
      </w:r>
    </w:p>
    <w:p w14:paraId="29184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480" w:firstLineChars="200"/>
        <w:textAlignment w:val="auto"/>
        <w:rPr>
          <w:rFonts w:hint="eastAsia" w:ascii="仿宋_GB2312" w:hAnsi="仿宋" w:eastAsia="仿宋_GB2312"/>
          <w:sz w:val="24"/>
        </w:rPr>
      </w:pPr>
    </w:p>
    <w:p w14:paraId="55D06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480" w:firstLineChars="200"/>
        <w:textAlignment w:val="auto"/>
        <w:rPr>
          <w:rFonts w:hint="eastAsia" w:ascii="仿宋_GB2312" w:hAnsi="仿宋" w:eastAsia="仿宋_GB2312"/>
          <w:sz w:val="24"/>
        </w:rPr>
      </w:pPr>
      <w:bookmarkStart w:id="0" w:name="_GoBack"/>
      <w:bookmarkEnd w:id="0"/>
    </w:p>
    <w:p w14:paraId="3D29B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left="6639" w:leftChars="3154" w:hanging="16" w:hangingChars="7"/>
        <w:jc w:val="left"/>
        <w:textAlignment w:val="auto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深圳市专家人才联合会</w:t>
      </w:r>
    </w:p>
    <w:p w14:paraId="17BB3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left="4229" w:leftChars="399" w:hanging="3391" w:hangingChars="1413"/>
        <w:jc w:val="center"/>
        <w:textAlignment w:val="auto"/>
        <w:rPr>
          <w:sz w:val="20"/>
          <w:szCs w:val="22"/>
        </w:rPr>
      </w:pPr>
      <w:r>
        <w:rPr>
          <w:rFonts w:hint="eastAsia" w:ascii="仿宋_GB2312" w:hAnsi="仿宋_GB2312" w:eastAsia="仿宋_GB2312"/>
          <w:sz w:val="24"/>
        </w:rPr>
        <w:t xml:space="preserve">                                            2026年</w:t>
      </w:r>
      <w:r>
        <w:rPr>
          <w:rFonts w:hint="eastAsia" w:ascii="仿宋_GB2312" w:hAnsi="仿宋_GB2312" w:eastAsia="仿宋_GB2312"/>
          <w:sz w:val="24"/>
          <w:lang w:val="en-US" w:eastAsia="zh-CN"/>
        </w:rPr>
        <w:t>8</w:t>
      </w:r>
      <w:r>
        <w:rPr>
          <w:rFonts w:hint="eastAsia" w:ascii="仿宋_GB2312" w:hAnsi="仿宋_GB2312" w:eastAsia="仿宋_GB2312"/>
          <w:sz w:val="24"/>
        </w:rPr>
        <w:t>月</w:t>
      </w:r>
      <w:r>
        <w:rPr>
          <w:rFonts w:hint="eastAsia" w:ascii="仿宋_GB2312" w:hAnsi="仿宋_GB2312" w:eastAsia="仿宋_GB2312"/>
          <w:sz w:val="24"/>
          <w:lang w:val="en-US" w:eastAsia="zh-CN"/>
        </w:rPr>
        <w:t>6</w:t>
      </w:r>
      <w:r>
        <w:rPr>
          <w:rFonts w:hint="eastAsia" w:ascii="仿宋_GB2312" w:hAnsi="仿宋_GB2312" w:eastAsia="仿宋_GB2312"/>
          <w:sz w:val="24"/>
        </w:rPr>
        <w:t>日</w:t>
      </w:r>
    </w:p>
    <w:sectPr>
      <w:footerReference r:id="rId3" w:type="default"/>
      <w:footerReference r:id="rId4" w:type="even"/>
      <w:pgSz w:w="11907" w:h="16840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Malgun Gothic Semilight"/>
    <w:panose1 w:val="00000000000000000000"/>
    <w:charset w:val="86"/>
    <w:family w:val="auto"/>
    <w:pitch w:val="default"/>
    <w:sig w:usb0="00000000" w:usb1="00000000" w:usb2="00000000" w:usb3="00000000" w:csb0="0004009F" w:csb1="DFD7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0D688B24">
    <w:panose1 w:val="020B0502040204020203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B2BB0">
    <w:pPr>
      <w:pStyle w:val="9"/>
      <w:tabs>
        <w:tab w:val="clear" w:pos="4153"/>
        <w:tab w:val="clear" w:pos="8306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60D31">
    <w:pPr>
      <w:pStyle w:val="9"/>
      <w:framePr w:wrap="around" w:vAnchor="text" w:hAnchor="margin" w:xAlign="right" w:y="1"/>
      <w:tabs>
        <w:tab w:val="clear" w:pos="4153"/>
        <w:tab w:val="clear" w:pos="8306"/>
      </w:tabs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0B630837">
    <w:pPr>
      <w:pStyle w:val="9"/>
      <w:tabs>
        <w:tab w:val="clear" w:pos="4153"/>
        <w:tab w:val="clear" w:pos="8306"/>
      </w:tabs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200583"/>
    <w:rsid w:val="3FB63FA4"/>
    <w:rsid w:val="5D630997"/>
    <w:rsid w:val="61C90364"/>
    <w:rsid w:val="6F02747C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99"/>
    <w:rPr>
      <w:sz w:val="18"/>
      <w:szCs w:val="18"/>
    </w:rPr>
  </w:style>
  <w:style w:type="paragraph" w:styleId="3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99"/>
    <w:rPr>
      <w:color w:val="0563C1"/>
      <w:u w:val="single"/>
    </w:r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页码1"/>
    <w:qFormat/>
    <w:uiPriority w:val="0"/>
  </w:style>
  <w:style w:type="character" w:customStyle="1" w:styleId="11">
    <w:name w:val="10"/>
    <w:basedOn w:val="7"/>
    <w:qFormat/>
    <w:uiPriority w:val="0"/>
    <w:rPr>
      <w:rFonts w:hint="default" w:ascii="Calibri" w:hAnsi="Calibri" w:cs="Calibri"/>
    </w:rPr>
  </w:style>
  <w:style w:type="character" w:customStyle="1" w:styleId="12">
    <w:name w:val="15"/>
    <w:basedOn w:val="7"/>
    <w:qFormat/>
    <w:uiPriority w:val="0"/>
    <w:rPr>
      <w:rFonts w:hint="default" w:ascii="Calibri" w:hAnsi="Calibri" w:cs="Calibri"/>
      <w:color w:val="0563C1"/>
      <w:u w:val="single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批注框文本 字符"/>
    <w:basedOn w:val="7"/>
    <w:link w:val="2"/>
    <w:qFormat/>
    <w:uiPriority w:val="99"/>
    <w:rPr>
      <w:kern w:val="2"/>
      <w:sz w:val="18"/>
      <w:szCs w:val="18"/>
    </w:rPr>
  </w:style>
  <w:style w:type="character" w:customStyle="1" w:styleId="15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6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524</Words>
  <Characters>565</Characters>
  <Paragraphs>30</Paragraphs>
  <TotalTime>7</TotalTime>
  <ScaleCrop>false</ScaleCrop>
  <LinksUpToDate>false</LinksUpToDate>
  <CharactersWithSpaces>610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2026-03-16T01:21:00Z</dcterms:created>
  <dc:creator>z2220</dc:creator>
  <cp:lastModifiedBy>木子</cp:lastModifiedBy>
  <dcterms:modified xsi:type="dcterms:W3CDTF">2026-08-06T06:12:50Z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eyJoZGlkIjoiYzNkODkwM2Q3MTlkMTcxODRiOTVmZDYzNjU3YWNlOTYiLCJ1c2VySWQiOiI3NzM5NDU0NTUifQ==</vt:lpwstr>
  </property>
  <property fmtid="{D5CDD505-2E9C-101B-9397-08002B2CF9AE}" pid="4" name="ICV">
    <vt:lpwstr>BE61BF9942564A69BAE70062B2E4A721_13</vt:lpwstr>
  </property>
</Properties>
</file>