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C2FB5B">
      <w:pPr>
        <w:ind w:left="-141" w:leftChars="-67"/>
        <w:jc w:val="center"/>
        <w:rPr>
          <w:rFonts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drawing>
          <wp:inline distT="0" distB="0" distL="0" distR="0">
            <wp:extent cx="6178550" cy="927735"/>
            <wp:effectExtent l="0" t="0" r="12700" b="5715"/>
            <wp:docPr id="1026" name="图片 1" descr="a442c33d65ca02a661cf509d708b73c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1" descr="a442c33d65ca02a661cf509d708b73cf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575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-141" w:leftChars="-67"/>
        <w:jc w:val="center"/>
        <w:textAlignment w:val="auto"/>
        <w:rPr>
          <w:rFonts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>关于举办2026年度（第</w:t>
      </w:r>
      <w:r>
        <w:rPr>
          <w:rFonts w:hint="eastAsia" w:hAnsi="华文中宋" w:eastAsia="华文中宋"/>
          <w:b/>
          <w:sz w:val="32"/>
          <w:szCs w:val="32"/>
          <w:lang w:val="en-US" w:eastAsia="zh-CN"/>
        </w:rPr>
        <w:t>47</w:t>
      </w:r>
      <w:r>
        <w:rPr>
          <w:rFonts w:hint="eastAsia" w:ascii="华文中宋" w:hAnsi="华文中宋" w:eastAsia="华文中宋"/>
          <w:b/>
          <w:sz w:val="32"/>
          <w:szCs w:val="32"/>
        </w:rPr>
        <w:t>次）实验病理学公益网络学习会的通知</w:t>
      </w:r>
    </w:p>
    <w:p w14:paraId="2B072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right="210" w:rightChars="100" w:firstLine="480" w:firstLineChars="200"/>
        <w:jc w:val="left"/>
        <w:textAlignment w:val="auto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为促进实验病理学从业人员的学术交流，开展实验病理学公益网络学习会，自2019年起，已进入第8个年头，本次学习会是第3</w:t>
      </w:r>
      <w:r>
        <w:rPr>
          <w:rFonts w:hint="eastAsia" w:ascii="仿宋_GB2312" w:eastAsia="仿宋_GB2312"/>
          <w:sz w:val="24"/>
          <w:lang w:val="en-US" w:eastAsia="zh-CN"/>
        </w:rPr>
        <w:t>41</w:t>
      </w:r>
      <w:r>
        <w:rPr>
          <w:rFonts w:hint="eastAsia" w:ascii="仿宋_GB2312" w:eastAsia="仿宋_GB2312"/>
          <w:sz w:val="24"/>
        </w:rPr>
        <w:t>次学习会。</w:t>
      </w:r>
    </w:p>
    <w:p w14:paraId="6CDA2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480" w:firstLineChars="200"/>
        <w:jc w:val="left"/>
        <w:textAlignment w:val="auto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一、组织机构</w:t>
      </w:r>
    </w:p>
    <w:p w14:paraId="19013D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right="210" w:rightChars="100" w:firstLine="480" w:firstLineChars="200"/>
        <w:jc w:val="left"/>
        <w:textAlignment w:val="auto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主办：深圳市专家人才联合会</w:t>
      </w:r>
    </w:p>
    <w:p w14:paraId="7BC67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right="210" w:rightChars="100" w:firstLine="480" w:firstLineChars="200"/>
        <w:jc w:val="left"/>
        <w:textAlignment w:val="auto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承办：深圳市药品检验研究院，东北农业大学动物医学学院</w:t>
      </w:r>
    </w:p>
    <w:p w14:paraId="16A64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right="210" w:rightChars="100" w:firstLine="480" w:firstLineChars="200"/>
        <w:jc w:val="left"/>
        <w:textAlignment w:val="auto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协办：中国毒理学会毒性病理学专委会，中国医学装备协会病理装备分会，中国实验动物学会实验病理学专委会，广东省实验动物学会，深圳市宏略创新管理研究院，深圳市分析测试协会，广东省药品监督管理局实验病理学重点实验室</w:t>
      </w:r>
    </w:p>
    <w:p w14:paraId="13E83A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480" w:firstLineChars="200"/>
        <w:jc w:val="left"/>
        <w:textAlignment w:val="auto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二、时间及地点</w:t>
      </w:r>
    </w:p>
    <w:p w14:paraId="2022C5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480" w:firstLineChars="200"/>
        <w:jc w:val="left"/>
        <w:textAlignment w:val="auto"/>
        <w:rPr>
          <w:rFonts w:ascii="仿宋_GB2312" w:eastAsia="仿宋_GB2312"/>
          <w:bCs/>
          <w:sz w:val="24"/>
        </w:rPr>
      </w:pPr>
      <w:r>
        <w:rPr>
          <w:rFonts w:hint="eastAsia" w:ascii="仿宋_GB2312" w:eastAsia="仿宋_GB2312"/>
          <w:bCs/>
          <w:sz w:val="24"/>
        </w:rPr>
        <w:t>腾讯会议：625-2439-2306（免费参会）</w:t>
      </w:r>
    </w:p>
    <w:p w14:paraId="72AC098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right="210" w:rightChars="100" w:firstLine="480" w:firstLineChars="200"/>
        <w:jc w:val="left"/>
        <w:textAlignment w:val="auto"/>
        <w:rPr>
          <w:rFonts w:ascii="黑体" w:hAnsi="黑体" w:eastAsia="黑体"/>
          <w:sz w:val="24"/>
        </w:rPr>
      </w:pPr>
      <w:r>
        <w:rPr>
          <w:rFonts w:hint="eastAsia" w:ascii="仿宋_GB2312" w:eastAsia="仿宋_GB2312"/>
          <w:bCs/>
          <w:sz w:val="24"/>
        </w:rPr>
        <w:t>培训时间：2026年</w:t>
      </w:r>
      <w:r>
        <w:rPr>
          <w:rFonts w:hint="eastAsia" w:ascii="仿宋_GB2312" w:eastAsia="仿宋_GB2312"/>
          <w:bCs/>
          <w:sz w:val="24"/>
          <w:lang w:val="en-US" w:eastAsia="zh-CN"/>
        </w:rPr>
        <w:t>10</w:t>
      </w:r>
      <w:r>
        <w:rPr>
          <w:rFonts w:hint="eastAsia" w:ascii="仿宋_GB2312" w:eastAsia="仿宋_GB2312"/>
          <w:bCs/>
          <w:sz w:val="24"/>
        </w:rPr>
        <w:t>月</w:t>
      </w:r>
      <w:r>
        <w:rPr>
          <w:rFonts w:hint="eastAsia" w:ascii="仿宋_GB2312" w:eastAsia="仿宋_GB2312"/>
          <w:bCs/>
          <w:sz w:val="24"/>
          <w:lang w:val="en-US" w:eastAsia="zh-CN"/>
        </w:rPr>
        <w:t>18</w:t>
      </w:r>
      <w:r>
        <w:rPr>
          <w:rFonts w:hint="eastAsia" w:ascii="仿宋_GB2312" w:eastAsia="仿宋_GB2312"/>
          <w:bCs/>
          <w:sz w:val="24"/>
        </w:rPr>
        <w:t>日（周</w:t>
      </w:r>
      <w:r>
        <w:rPr>
          <w:rFonts w:hint="eastAsia" w:ascii="仿宋_GB2312" w:eastAsia="仿宋_GB2312"/>
          <w:bCs/>
          <w:sz w:val="24"/>
          <w:lang w:val="en-US" w:eastAsia="zh-CN"/>
        </w:rPr>
        <w:t>日</w:t>
      </w:r>
      <w:r>
        <w:rPr>
          <w:rFonts w:hint="eastAsia" w:ascii="仿宋_GB2312" w:eastAsia="仿宋_GB2312"/>
          <w:bCs/>
          <w:sz w:val="24"/>
        </w:rPr>
        <w:t>） 14:00-18:00</w:t>
      </w:r>
    </w:p>
    <w:p w14:paraId="430FA7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right="210" w:rightChars="100" w:firstLine="482" w:firstLineChars="200"/>
        <w:jc w:val="left"/>
        <w:textAlignment w:val="auto"/>
        <w:rPr>
          <w:rFonts w:hint="eastAsia" w:ascii="仿宋_GB2312" w:eastAsia="仿宋_GB2312"/>
          <w:b/>
          <w:bCs/>
          <w:sz w:val="24"/>
          <w:lang w:val="en-US" w:eastAsia="zh-CN"/>
        </w:rPr>
      </w:pPr>
      <w:r>
        <w:rPr>
          <w:rFonts w:hint="eastAsia" w:ascii="仿宋_GB2312" w:eastAsia="仿宋_GB2312"/>
          <w:b/>
          <w:bCs/>
          <w:sz w:val="24"/>
          <w:lang w:val="en-US" w:eastAsia="zh-CN"/>
        </w:rPr>
        <w:t>实验病理学</w:t>
      </w:r>
    </w:p>
    <w:p w14:paraId="47EE1F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right="210" w:rightChars="100" w:firstLine="480" w:firstLineChars="200"/>
        <w:jc w:val="left"/>
        <w:textAlignment w:val="auto"/>
        <w:rPr>
          <w:rFonts w:hint="eastAsia" w:ascii="仿宋_GB2312" w:eastAsia="仿宋_GB2312"/>
          <w:sz w:val="24"/>
          <w:lang w:eastAsia="zh-CN"/>
        </w:rPr>
      </w:pPr>
      <w:r>
        <w:rPr>
          <w:rFonts w:hint="eastAsia" w:ascii="仿宋_GB2312" w:eastAsia="仿宋_GB2312"/>
          <w:sz w:val="24"/>
        </w:rPr>
        <w:t>主持嘉宾</w:t>
      </w:r>
      <w:r>
        <w:rPr>
          <w:rFonts w:hint="eastAsia" w:ascii="仿宋_GB2312" w:eastAsia="仿宋_GB2312"/>
          <w:sz w:val="24"/>
          <w:lang w:eastAsia="zh-CN"/>
        </w:rPr>
        <w:t>：金毅，深圳市药品检验研究院（深圳市医疗器械检测中心）</w:t>
      </w:r>
    </w:p>
    <w:p w14:paraId="0DE654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right="210" w:rightChars="100" w:firstLine="480" w:firstLineChars="200"/>
        <w:jc w:val="left"/>
        <w:textAlignment w:val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演讲内容：</w:t>
      </w:r>
    </w:p>
    <w:p w14:paraId="520CCF7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845" w:leftChars="0" w:right="210" w:rightChars="100" w:hanging="425" w:firstLineChars="0"/>
        <w:jc w:val="left"/>
        <w:textAlignment w:val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GLP体系下实验动物睾丸毒性评价及案例分析</w:t>
      </w:r>
      <w:r>
        <w:rPr>
          <w:rFonts w:hint="eastAsia" w:ascii="仿宋_GB2312" w:eastAsia="仿宋_GB2312"/>
          <w:sz w:val="24"/>
          <w:lang w:eastAsia="zh-CN"/>
        </w:rPr>
        <w:t>——</w:t>
      </w:r>
      <w:r>
        <w:rPr>
          <w:rFonts w:hint="eastAsia" w:ascii="仿宋_GB2312" w:eastAsia="仿宋_GB2312"/>
          <w:sz w:val="24"/>
          <w:lang w:val="en-US" w:eastAsia="zh-CN"/>
        </w:rPr>
        <w:t>英永</w:t>
      </w:r>
      <w:r>
        <w:rPr>
          <w:rFonts w:hint="eastAsia" w:ascii="仿宋_GB2312" w:eastAsia="仿宋_GB2312"/>
          <w:sz w:val="24"/>
        </w:rPr>
        <w:t>，山东省药学科学院新药评价中心</w:t>
      </w:r>
    </w:p>
    <w:p w14:paraId="455E698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845" w:leftChars="0" w:right="210" w:rightChars="100" w:hanging="425" w:firstLineChars="0"/>
        <w:jc w:val="left"/>
        <w:textAlignment w:val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  <w:lang w:eastAsia="zh-CN"/>
        </w:rPr>
        <w:t>定量构效关系（QSAR）技术在毒理学风险评估中的应用——</w:t>
      </w:r>
      <w:r>
        <w:rPr>
          <w:rFonts w:hint="eastAsia" w:ascii="仿宋_GB2312" w:eastAsia="仿宋_GB2312"/>
          <w:sz w:val="24"/>
        </w:rPr>
        <w:t>白文霞，苏州辰研生命科学有限公司</w:t>
      </w:r>
    </w:p>
    <w:p w14:paraId="1D153DE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845" w:leftChars="0" w:right="210" w:rightChars="100" w:hanging="425" w:firstLineChars="0"/>
        <w:jc w:val="left"/>
        <w:textAlignment w:val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线粒体自噬与内质网应激的超微形态特征及关联性分析</w:t>
      </w:r>
      <w:r>
        <w:rPr>
          <w:rFonts w:hint="eastAsia" w:ascii="仿宋_GB2312" w:eastAsia="仿宋_GB2312"/>
          <w:sz w:val="24"/>
          <w:lang w:val="en-US" w:eastAsia="zh-CN"/>
        </w:rPr>
        <w:t>--</w:t>
      </w:r>
      <w:r>
        <w:rPr>
          <w:rFonts w:hint="eastAsia" w:ascii="仿宋_GB2312" w:eastAsia="仿宋_GB2312"/>
          <w:sz w:val="24"/>
        </w:rPr>
        <w:t>基于透射电镜的观察研究</w:t>
      </w:r>
      <w:r>
        <w:rPr>
          <w:rFonts w:hint="eastAsia" w:ascii="仿宋_GB2312" w:eastAsia="仿宋_GB2312"/>
          <w:sz w:val="24"/>
          <w:lang w:eastAsia="zh-CN"/>
        </w:rPr>
        <w:t>——</w:t>
      </w:r>
      <w:r>
        <w:rPr>
          <w:rFonts w:hint="eastAsia" w:ascii="仿宋_GB2312" w:eastAsia="仿宋_GB2312"/>
          <w:sz w:val="24"/>
          <w:lang w:val="en-US" w:eastAsia="zh-CN"/>
        </w:rPr>
        <w:t>何洁，成都里来生物科技有限公司</w:t>
      </w:r>
    </w:p>
    <w:p w14:paraId="7EA54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right="210" w:rightChars="100" w:firstLine="480" w:firstLineChars="200"/>
        <w:jc w:val="left"/>
        <w:textAlignment w:val="auto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四、会务负责</w:t>
      </w:r>
    </w:p>
    <w:p w14:paraId="7B5F7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right="210" w:rightChars="100" w:firstLine="480" w:firstLineChars="200"/>
        <w:jc w:val="left"/>
        <w:textAlignment w:val="auto"/>
        <w:rPr>
          <w:rFonts w:hint="default" w:ascii="仿宋_GB2312" w:eastAsia="仿宋_GB2312"/>
          <w:sz w:val="24"/>
          <w:lang w:val="en-US" w:eastAsia="zh-CN"/>
        </w:rPr>
      </w:pPr>
      <w:r>
        <w:rPr>
          <w:rFonts w:hint="default" w:ascii="仿宋_GB2312" w:eastAsia="仿宋_GB2312"/>
          <w:sz w:val="24"/>
          <w:lang w:val="en-US" w:eastAsia="zh-CN"/>
        </w:rPr>
        <w:t>广州检验检测认证集团有限公司</w:t>
      </w:r>
      <w:bookmarkStart w:id="0" w:name="_GoBack"/>
      <w:bookmarkEnd w:id="0"/>
    </w:p>
    <w:p w14:paraId="7578BE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right="210" w:rightChars="100" w:firstLine="480" w:firstLineChars="200"/>
        <w:jc w:val="left"/>
        <w:textAlignment w:val="auto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五、媒体支持</w:t>
      </w:r>
    </w:p>
    <w:p w14:paraId="1A4A07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480" w:firstLineChars="200"/>
        <w:textAlignment w:val="auto"/>
        <w:rPr>
          <w:rFonts w:hint="eastAsia" w:ascii="仿宋_GB2312" w:hAnsi="仿宋" w:eastAsia="仿宋_GB2312"/>
          <w:sz w:val="24"/>
        </w:rPr>
      </w:pPr>
      <w:r>
        <w:rPr>
          <w:rFonts w:hint="eastAsia" w:ascii="仿宋_GB2312" w:hAnsi="仿宋" w:eastAsia="仿宋_GB2312"/>
          <w:sz w:val="24"/>
        </w:rPr>
        <w:t>公众号“镜下的真理”，服务号“逐梦病理”</w:t>
      </w:r>
    </w:p>
    <w:p w14:paraId="3D29B5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6639" w:leftChars="3154" w:hanging="16" w:hangingChars="7"/>
        <w:jc w:val="left"/>
        <w:textAlignment w:val="auto"/>
        <w:rPr>
          <w:rFonts w:ascii="仿宋_GB2312" w:hAnsi="仿宋_GB2312" w:eastAsia="仿宋_GB2312"/>
          <w:sz w:val="24"/>
        </w:rPr>
      </w:pPr>
      <w:r>
        <w:rPr>
          <w:rFonts w:hint="eastAsia" w:ascii="仿宋_GB2312" w:hAnsi="仿宋" w:eastAsia="仿宋_GB2312"/>
          <w:sz w:val="24"/>
        </w:rPr>
        <w:t>深圳市专家人才联合会</w:t>
      </w:r>
    </w:p>
    <w:p w14:paraId="17BB36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left="4229" w:leftChars="399" w:hanging="3391" w:hangingChars="1413"/>
        <w:jc w:val="center"/>
        <w:textAlignment w:val="auto"/>
        <w:rPr>
          <w:sz w:val="20"/>
          <w:szCs w:val="22"/>
        </w:rPr>
      </w:pPr>
      <w:r>
        <w:rPr>
          <w:rFonts w:hint="eastAsia" w:ascii="仿宋_GB2312" w:hAnsi="仿宋_GB2312" w:eastAsia="仿宋_GB2312"/>
          <w:sz w:val="24"/>
        </w:rPr>
        <w:t xml:space="preserve">                                            2026年</w:t>
      </w:r>
      <w:r>
        <w:rPr>
          <w:rFonts w:hint="eastAsia" w:ascii="仿宋_GB2312" w:hAnsi="仿宋_GB2312" w:eastAsia="仿宋_GB2312"/>
          <w:sz w:val="24"/>
          <w:lang w:val="en-US" w:eastAsia="zh-CN"/>
        </w:rPr>
        <w:t>9</w:t>
      </w:r>
      <w:r>
        <w:rPr>
          <w:rFonts w:hint="eastAsia" w:ascii="仿宋_GB2312" w:hAnsi="仿宋_GB2312" w:eastAsia="仿宋_GB2312"/>
          <w:sz w:val="24"/>
        </w:rPr>
        <w:t>月</w:t>
      </w:r>
      <w:r>
        <w:rPr>
          <w:rFonts w:hint="eastAsia" w:ascii="仿宋_GB2312" w:hAnsi="仿宋_GB2312" w:eastAsia="仿宋_GB2312"/>
          <w:sz w:val="24"/>
          <w:lang w:val="en-US" w:eastAsia="zh-CN"/>
        </w:rPr>
        <w:t>25</w:t>
      </w:r>
      <w:r>
        <w:rPr>
          <w:rFonts w:hint="eastAsia" w:ascii="仿宋_GB2312" w:hAnsi="仿宋_GB2312" w:eastAsia="仿宋_GB2312"/>
          <w:sz w:val="24"/>
        </w:rPr>
        <w:t>日</w:t>
      </w:r>
    </w:p>
    <w:sectPr>
      <w:footerReference r:id="rId3" w:type="default"/>
      <w:footerReference r:id="rId4" w:type="even"/>
      <w:pgSz w:w="11907" w:h="16840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altName w:val="Malgun Gothic Semilight"/>
    <w:panose1 w:val="00000000000000000000"/>
    <w:charset w:val="86"/>
    <w:family w:val="auto"/>
    <w:pitch w:val="default"/>
    <w:sig w:usb0="00000000" w:usb1="00000000" w:usb2="00000000" w:usb3="00000000" w:csb0="0004009F" w:csb1="DFD7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0D688B24">
    <w:panose1 w:val="020B0502040204020203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DB2BB0">
    <w:pPr>
      <w:pStyle w:val="9"/>
      <w:tabs>
        <w:tab w:val="clear" w:pos="4153"/>
        <w:tab w:val="clear" w:pos="8306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A60D31">
    <w:pPr>
      <w:pStyle w:val="9"/>
      <w:framePr w:wrap="around" w:vAnchor="text" w:hAnchor="margin" w:xAlign="right" w:y="1"/>
      <w:tabs>
        <w:tab w:val="clear" w:pos="4153"/>
        <w:tab w:val="clear" w:pos="8306"/>
      </w:tabs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 w14:paraId="0B630837">
    <w:pPr>
      <w:pStyle w:val="9"/>
      <w:tabs>
        <w:tab w:val="clear" w:pos="4153"/>
        <w:tab w:val="clear" w:pos="8306"/>
      </w:tabs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901E50"/>
    <w:multiLevelType w:val="singleLevel"/>
    <w:tmpl w:val="AB901E50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1">
    <w:nsid w:val="00000000"/>
    <w:multiLevelType w:val="singleLevel"/>
    <w:tmpl w:val="0000000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7104AF"/>
    <w:rsid w:val="06A44D39"/>
    <w:rsid w:val="0EF8557A"/>
    <w:rsid w:val="127968F6"/>
    <w:rsid w:val="200F0EA1"/>
    <w:rsid w:val="23006644"/>
    <w:rsid w:val="28C56503"/>
    <w:rsid w:val="30E16A06"/>
    <w:rsid w:val="3C8446CC"/>
    <w:rsid w:val="407D28DD"/>
    <w:rsid w:val="4597548E"/>
    <w:rsid w:val="4C873AC9"/>
    <w:rsid w:val="675E74BD"/>
    <w:rsid w:val="73D653CB"/>
    <w:rsid w:val="7DBC01D8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qFormat/>
    <w:uiPriority w:val="1"/>
  </w:style>
  <w:style w:type="table" w:default="1" w:styleId="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qFormat/>
    <w:uiPriority w:val="99"/>
    <w:rPr>
      <w:sz w:val="18"/>
      <w:szCs w:val="18"/>
    </w:rPr>
  </w:style>
  <w:style w:type="paragraph" w:styleId="3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99"/>
    <w:rPr>
      <w:color w:val="0563C1"/>
      <w:u w:val="single"/>
    </w:rPr>
  </w:style>
  <w:style w:type="paragraph" w:customStyle="1" w:styleId="9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10">
    <w:name w:val="页码1"/>
    <w:qFormat/>
    <w:uiPriority w:val="0"/>
  </w:style>
  <w:style w:type="character" w:customStyle="1" w:styleId="11">
    <w:name w:val="10"/>
    <w:basedOn w:val="7"/>
    <w:qFormat/>
    <w:uiPriority w:val="0"/>
    <w:rPr>
      <w:rFonts w:hint="default" w:ascii="Calibri" w:hAnsi="Calibri" w:cs="Calibri"/>
    </w:rPr>
  </w:style>
  <w:style w:type="character" w:customStyle="1" w:styleId="12">
    <w:name w:val="15"/>
    <w:basedOn w:val="7"/>
    <w:qFormat/>
    <w:uiPriority w:val="0"/>
    <w:rPr>
      <w:rFonts w:hint="default" w:ascii="Calibri" w:hAnsi="Calibri" w:cs="Calibri"/>
      <w:color w:val="0563C1"/>
      <w:u w:val="single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customStyle="1" w:styleId="14">
    <w:name w:val="批注框文本 字符"/>
    <w:basedOn w:val="7"/>
    <w:link w:val="2"/>
    <w:qFormat/>
    <w:uiPriority w:val="99"/>
    <w:rPr>
      <w:kern w:val="2"/>
      <w:sz w:val="18"/>
      <w:szCs w:val="18"/>
    </w:rPr>
  </w:style>
  <w:style w:type="character" w:customStyle="1" w:styleId="15">
    <w:name w:val="页眉 字符"/>
    <w:basedOn w:val="7"/>
    <w:link w:val="4"/>
    <w:qFormat/>
    <w:uiPriority w:val="99"/>
    <w:rPr>
      <w:kern w:val="2"/>
      <w:sz w:val="18"/>
      <w:szCs w:val="18"/>
    </w:rPr>
  </w:style>
  <w:style w:type="character" w:customStyle="1" w:styleId="16">
    <w:name w:val="页脚 字符"/>
    <w:basedOn w:val="7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502</Words>
  <Characters>550</Characters>
  <Paragraphs>26</Paragraphs>
  <TotalTime>2424</TotalTime>
  <ScaleCrop>false</ScaleCrop>
  <LinksUpToDate>false</LinksUpToDate>
  <CharactersWithSpaces>595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2026-03-16T01:21:00Z</dcterms:created>
  <dc:creator>z2220</dc:creator>
  <cp:lastModifiedBy>木子</cp:lastModifiedBy>
  <dcterms:modified xsi:type="dcterms:W3CDTF">2026-09-25T02:20:22Z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eyJoZGlkIjoiYzNkODkwM2Q3MTlkMTcxODRiOTVmZDYzNjU3YWNlOTYiLCJ1c2VySWQiOiI3NzM5NDU0NTUifQ==</vt:lpwstr>
  </property>
  <property fmtid="{D5CDD505-2E9C-101B-9397-08002B2CF9AE}" pid="4" name="ICV">
    <vt:lpwstr>86870CD2D4EA40358E052DF4DE7E2479_13</vt:lpwstr>
  </property>
</Properties>
</file>