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深圳市药品检验研究院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lang w:val="en-US" w:eastAsia="zh-CN"/>
        </w:rPr>
        <w:t>会计服务</w:t>
      </w:r>
      <w:r>
        <w:rPr>
          <w:rFonts w:hint="eastAsia" w:ascii="华文中宋" w:hAnsi="华文中宋" w:eastAsia="华文中宋" w:cs="华文中宋"/>
        </w:rPr>
        <w:t>类供应商资质中标结果公示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经我院评审委员会评定，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类供应商资质中标结果公示如下：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深圳日浩会计师事务所（普通合伙）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深圳国泰会计师事务所（普通合伙）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3、深圳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广深会计师事务所（普通合伙）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深圳汇田会计师事务所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东莞市欣瑞会计师事务所（普通合伙）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6、深圳皇嘉会计师事务所（普通合伙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0FA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BFD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3225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DBD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  <w:rsid w:val="06DA4946"/>
    <w:rsid w:val="572029C6"/>
    <w:rsid w:val="67621B62"/>
    <w:rsid w:val="7FE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15</TotalTime>
  <ScaleCrop>false</ScaleCrop>
  <LinksUpToDate>false</LinksUpToDate>
  <CharactersWithSpaces>185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2020-01-07T05:13:00Z</dcterms:created>
  <dc:creator>0</dc:creator>
  <cp:lastModifiedBy>桐桐她妈</cp:lastModifiedBy>
  <dcterms:modified xsi:type="dcterms:W3CDTF">2020-03-30T07:47:25Z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